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9CBC51B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WG2 Meeting NR Adhoc 1807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C271FE">
        <w:rPr>
          <w:bCs/>
          <w:noProof w:val="0"/>
          <w:sz w:val="24"/>
          <w:szCs w:val="24"/>
        </w:rPr>
        <w:t>10256</w:t>
      </w:r>
    </w:p>
    <w:p w14:paraId="231362B2" w14:textId="28E71B0B" w:rsidR="00CD4C7B" w:rsidRPr="00B266B0" w:rsidRDefault="002610D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6th July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E227BE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33F2A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733F2A">
        <w:rPr>
          <w:rFonts w:cs="Arial"/>
          <w:b/>
          <w:bCs/>
          <w:sz w:val="24"/>
          <w:lang w:eastAsia="ja-JP"/>
        </w:rPr>
        <w:t>4</w:t>
      </w:r>
      <w:r w:rsidR="002747EC">
        <w:rPr>
          <w:rFonts w:cs="Arial"/>
          <w:b/>
          <w:bCs/>
          <w:sz w:val="24"/>
          <w:lang w:eastAsia="ja-JP"/>
        </w:rPr>
        <w:t>.</w:t>
      </w:r>
      <w:r w:rsidR="00ED4269">
        <w:rPr>
          <w:rFonts w:cs="Arial"/>
          <w:b/>
          <w:bCs/>
          <w:sz w:val="24"/>
          <w:lang w:eastAsia="ja-JP"/>
        </w:rPr>
        <w:t>1.4.1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E55DC6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D4269">
        <w:rPr>
          <w:rFonts w:ascii="Arial" w:hAnsi="Arial" w:cs="Arial"/>
          <w:b/>
          <w:bCs/>
          <w:sz w:val="24"/>
        </w:rPr>
        <w:t>On the number</w:t>
      </w:r>
      <w:r w:rsidR="00351A7C">
        <w:rPr>
          <w:rFonts w:ascii="Arial" w:hAnsi="Arial" w:cs="Arial"/>
          <w:b/>
          <w:bCs/>
          <w:sz w:val="24"/>
        </w:rPr>
        <w:t xml:space="preserve"> of MOs per </w:t>
      </w:r>
      <w:r w:rsidR="00ED4269">
        <w:rPr>
          <w:rFonts w:ascii="Arial" w:hAnsi="Arial" w:cs="Arial"/>
          <w:b/>
          <w:bCs/>
          <w:sz w:val="24"/>
        </w:rPr>
        <w:t xml:space="preserve">SSB </w:t>
      </w:r>
      <w:r w:rsidR="00351A7C">
        <w:rPr>
          <w:rFonts w:ascii="Arial" w:hAnsi="Arial" w:cs="Arial"/>
          <w:b/>
          <w:bCs/>
          <w:sz w:val="24"/>
        </w:rPr>
        <w:t>freq</w:t>
      </w:r>
      <w:r w:rsidR="00ED4269">
        <w:rPr>
          <w:rFonts w:ascii="Arial" w:hAnsi="Arial" w:cs="Arial"/>
          <w:b/>
          <w:bCs/>
          <w:sz w:val="24"/>
        </w:rPr>
        <w:t>uency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56E68A6" w:rsidR="00CD4C7B" w:rsidRPr="006E13D1" w:rsidRDefault="00542E69" w:rsidP="00801E8A">
      <w:pPr>
        <w:jc w:val="both"/>
      </w:pPr>
      <w:r>
        <w:t>In the course of the Rel</w:t>
      </w:r>
      <w:r w:rsidR="00CC0694">
        <w:t>ease 15 WI on NR</w:t>
      </w:r>
      <w:r w:rsidR="001000CD">
        <w:t xml:space="preserve"> there have been numerous fierce </w:t>
      </w:r>
      <w:r w:rsidR="00BE2942">
        <w:t>RRM discussions</w:t>
      </w:r>
      <w:r w:rsidR="001000CD">
        <w:t>. No</w:t>
      </w:r>
      <w:r w:rsidR="00DB6224">
        <w:t xml:space="preserve"> deviation from that trend</w:t>
      </w:r>
      <w:r w:rsidR="001000CD">
        <w:t xml:space="preserve"> was observed at 3GPP RAN WG2#102 (held in South Korea, May 2018).</w:t>
      </w:r>
      <w:r w:rsidR="00DB6224">
        <w:t xml:space="preserve"> This TDoc is focused on outlining w</w:t>
      </w:r>
      <w:r w:rsidR="00C77FEA">
        <w:t>hy it may be</w:t>
      </w:r>
      <w:r w:rsidR="00DB6224">
        <w:t xml:space="preserve"> not desired to restrict the number of Measurement Objects (MOs) to one per frequency (i.e. </w:t>
      </w:r>
      <w:r w:rsidR="001825E5">
        <w:t xml:space="preserve">single per </w:t>
      </w:r>
      <w:r w:rsidR="00DB6224" w:rsidRPr="00DB6224">
        <w:rPr>
          <w:i/>
        </w:rPr>
        <w:t>SSBfrequency</w:t>
      </w:r>
      <w:r w:rsidR="00DB6224">
        <w:t>)</w:t>
      </w:r>
      <w:r w:rsidR="001825E5">
        <w:t>.</w:t>
      </w:r>
    </w:p>
    <w:p w14:paraId="127ACA6D" w14:textId="6A899AF0" w:rsidR="00CD4C7B" w:rsidRPr="006E13D1" w:rsidRDefault="00B16104" w:rsidP="00CD4C7B">
      <w:pPr>
        <w:pStyle w:val="Heading1"/>
      </w:pPr>
      <w:r>
        <w:t>2</w:t>
      </w:r>
      <w:r>
        <w:tab/>
        <w:t>Discussion</w:t>
      </w:r>
    </w:p>
    <w:p w14:paraId="46A66551" w14:textId="301C7D99" w:rsidR="00351A7C" w:rsidRDefault="00351A7C" w:rsidP="00351A7C">
      <w:pPr>
        <w:jc w:val="both"/>
      </w:pPr>
      <w:r>
        <w:t xml:space="preserve">As per RAN2#102 agreements, </w:t>
      </w:r>
      <w:r w:rsidR="001000CD">
        <w:t xml:space="preserve">the references to particular frequency have been removed from the procedural text in </w:t>
      </w:r>
      <w:r w:rsidR="001000CD">
        <w:fldChar w:fldCharType="begin"/>
      </w:r>
      <w:r w:rsidR="001000CD">
        <w:instrText xml:space="preserve"> REF _Ref516758201 \r \h </w:instrText>
      </w:r>
      <w:r w:rsidR="001000CD">
        <w:fldChar w:fldCharType="separate"/>
      </w:r>
      <w:r w:rsidR="001000CD">
        <w:t>[1]</w:t>
      </w:r>
      <w:r w:rsidR="001000CD">
        <w:fldChar w:fldCharType="end"/>
      </w:r>
      <w:r w:rsidR="001000CD">
        <w:t xml:space="preserve">, replaced by </w:t>
      </w:r>
      <w:r w:rsidR="001000CD" w:rsidRPr="001000CD">
        <w:rPr>
          <w:i/>
        </w:rPr>
        <w:t>MeasObjectNR</w:t>
      </w:r>
      <w:r w:rsidR="001000CD">
        <w:t xml:space="preserve">. This is the implementation of the agreement #1, </w:t>
      </w:r>
      <w:r w:rsidR="001000CD" w:rsidRPr="00D649D6">
        <w:rPr>
          <w:highlight w:val="yellow"/>
        </w:rPr>
        <w:t>quoted below</w:t>
      </w:r>
      <w:r w:rsidR="00077A31">
        <w:t xml:space="preserve"> </w:t>
      </w:r>
      <w:r w:rsidR="007D45EB">
        <w:fldChar w:fldCharType="begin"/>
      </w:r>
      <w:r w:rsidR="007D45EB">
        <w:instrText xml:space="preserve"> REF _Ref516762913 \r \h </w:instrText>
      </w:r>
      <w:r w:rsidR="007D45EB">
        <w:fldChar w:fldCharType="separate"/>
      </w:r>
      <w:r w:rsidR="007D45EB">
        <w:t>[2]</w:t>
      </w:r>
      <w:r w:rsidR="007D45EB">
        <w:fldChar w:fldCharType="end"/>
      </w:r>
      <w:r w:rsidR="001000CD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1A7C" w14:paraId="44634E7A" w14:textId="77777777" w:rsidTr="00351A7C">
        <w:tc>
          <w:tcPr>
            <w:tcW w:w="9631" w:type="dxa"/>
          </w:tcPr>
          <w:p w14:paraId="53FB20B8" w14:textId="77777777" w:rsidR="00351A7C" w:rsidRPr="00351A7C" w:rsidRDefault="00351A7C" w:rsidP="00351A7C">
            <w:pPr>
              <w:jc w:val="both"/>
              <w:rPr>
                <w:rFonts w:ascii="Arial" w:hAnsi="Arial" w:cs="Arial"/>
              </w:rPr>
            </w:pPr>
            <w:r w:rsidRPr="00351A7C">
              <w:rPr>
                <w:rFonts w:ascii="Arial" w:hAnsi="Arial" w:cs="Arial"/>
              </w:rPr>
              <w:t>Agreement:</w:t>
            </w:r>
          </w:p>
          <w:p w14:paraId="6423038A" w14:textId="77777777" w:rsidR="00351A7C" w:rsidRPr="00351A7C" w:rsidRDefault="00351A7C" w:rsidP="00351A7C">
            <w:pPr>
              <w:jc w:val="both"/>
              <w:rPr>
                <w:rFonts w:ascii="Arial" w:hAnsi="Arial" w:cs="Arial"/>
              </w:rPr>
            </w:pPr>
            <w:r w:rsidRPr="00D649D6">
              <w:rPr>
                <w:rFonts w:ascii="Arial" w:hAnsi="Arial" w:cs="Arial"/>
                <w:highlight w:val="yellow"/>
              </w:rPr>
              <w:t>1</w:t>
            </w:r>
            <w:r w:rsidRPr="00D649D6">
              <w:rPr>
                <w:rFonts w:ascii="Arial" w:hAnsi="Arial" w:cs="Arial"/>
                <w:highlight w:val="yellow"/>
              </w:rPr>
              <w:tab/>
              <w:t>To clarify the spec, we will use the approach to specific fields within the signalling (e.g. MO) instead of referring to the frequency.</w:t>
            </w:r>
            <w:r w:rsidRPr="00351A7C">
              <w:rPr>
                <w:rFonts w:ascii="Arial" w:hAnsi="Arial" w:cs="Arial"/>
              </w:rPr>
              <w:t xml:space="preserve"> </w:t>
            </w:r>
          </w:p>
          <w:p w14:paraId="2E4BB706" w14:textId="77777777" w:rsidR="00351A7C" w:rsidRPr="00351A7C" w:rsidRDefault="00351A7C" w:rsidP="00351A7C">
            <w:pPr>
              <w:jc w:val="both"/>
              <w:rPr>
                <w:rFonts w:ascii="Arial" w:hAnsi="Arial" w:cs="Arial"/>
              </w:rPr>
            </w:pPr>
            <w:r w:rsidRPr="00351A7C">
              <w:rPr>
                <w:rFonts w:ascii="Arial" w:hAnsi="Arial" w:cs="Arial"/>
              </w:rPr>
              <w:t>2</w:t>
            </w:r>
            <w:r w:rsidRPr="00351A7C">
              <w:rPr>
                <w:rFonts w:ascii="Arial" w:hAnsi="Arial" w:cs="Arial"/>
              </w:rPr>
              <w:tab/>
              <w:t xml:space="preserve">The serving cell MO (only one) is identified by an explicit indication of the MO Id in the serving cell configuration </w:t>
            </w:r>
          </w:p>
          <w:p w14:paraId="29B93E9E" w14:textId="77777777" w:rsidR="00351A7C" w:rsidRPr="00351A7C" w:rsidRDefault="00351A7C" w:rsidP="00351A7C">
            <w:pPr>
              <w:jc w:val="both"/>
              <w:rPr>
                <w:rFonts w:ascii="Arial" w:hAnsi="Arial" w:cs="Arial"/>
              </w:rPr>
            </w:pPr>
            <w:r w:rsidRPr="00351A7C">
              <w:rPr>
                <w:rFonts w:ascii="Arial" w:hAnsi="Arial" w:cs="Arial"/>
              </w:rPr>
              <w:t>2i</w:t>
            </w:r>
            <w:r w:rsidRPr="00351A7C">
              <w:rPr>
                <w:rFonts w:ascii="Arial" w:hAnsi="Arial" w:cs="Arial"/>
              </w:rPr>
              <w:tab/>
              <w:t>For SSB case, the SSB of the indicated MO must be the SSB in the serving cell configuration</w:t>
            </w:r>
          </w:p>
          <w:p w14:paraId="42A3FA48" w14:textId="77777777" w:rsidR="00351A7C" w:rsidRPr="00351A7C" w:rsidRDefault="00351A7C" w:rsidP="00351A7C">
            <w:pPr>
              <w:jc w:val="both"/>
              <w:rPr>
                <w:rFonts w:ascii="Arial" w:hAnsi="Arial" w:cs="Arial"/>
              </w:rPr>
            </w:pPr>
            <w:r w:rsidRPr="00351A7C">
              <w:rPr>
                <w:rFonts w:ascii="Arial" w:hAnsi="Arial" w:cs="Arial"/>
              </w:rPr>
              <w:t>2ii</w:t>
            </w:r>
            <w:r w:rsidRPr="00351A7C">
              <w:rPr>
                <w:rFonts w:ascii="Arial" w:hAnsi="Arial" w:cs="Arial"/>
              </w:rPr>
              <w:tab/>
              <w:t>For CSI-RS case the CSI-RS resources of the serving cell should be within the carrier bandwidth (detailed fields to capture this restriction to be concluded offline)</w:t>
            </w:r>
          </w:p>
          <w:p w14:paraId="27C56F8E" w14:textId="77777777" w:rsidR="00351A7C" w:rsidRPr="00351A7C" w:rsidRDefault="00351A7C" w:rsidP="00351A7C">
            <w:pPr>
              <w:jc w:val="both"/>
              <w:rPr>
                <w:rFonts w:ascii="Arial" w:hAnsi="Arial" w:cs="Arial"/>
              </w:rPr>
            </w:pPr>
            <w:r w:rsidRPr="00351A7C">
              <w:rPr>
                <w:rFonts w:ascii="Arial" w:hAnsi="Arial" w:cs="Arial"/>
              </w:rPr>
              <w:t>FFS Whether any further restriction would apply</w:t>
            </w:r>
          </w:p>
          <w:p w14:paraId="69FDB05A" w14:textId="5C55546E" w:rsidR="00351A7C" w:rsidRDefault="00351A7C" w:rsidP="00351A7C">
            <w:pPr>
              <w:jc w:val="both"/>
            </w:pPr>
            <w:r w:rsidRPr="00351A7C">
              <w:rPr>
                <w:rFonts w:ascii="Arial" w:hAnsi="Arial" w:cs="Arial"/>
              </w:rPr>
              <w:t>FFS For the case where the SSB frequency indicated in the MO is used for measurements, whether there should be a restriction that there can be only one MO per SSB frequency/SCS. Can also check if we have taken a previous agreement on this.</w:t>
            </w:r>
          </w:p>
        </w:tc>
      </w:tr>
    </w:tbl>
    <w:p w14:paraId="76CB95A1" w14:textId="0656AFE4" w:rsidR="00351A7C" w:rsidRPr="006E13D1" w:rsidRDefault="002F19ED" w:rsidP="00351A7C">
      <w:pPr>
        <w:jc w:val="both"/>
      </w:pPr>
      <w:r>
        <w:t xml:space="preserve"> </w:t>
      </w:r>
    </w:p>
    <w:p w14:paraId="47186DB4" w14:textId="715C70C8" w:rsidR="004820A9" w:rsidRDefault="008637EC" w:rsidP="004820A9">
      <w:pPr>
        <w:jc w:val="both"/>
      </w:pPr>
      <w:r>
        <w:t>The remainder of this paper concentrates on the FFS from the aforementioned table</w:t>
      </w:r>
      <w:r w:rsidR="005C4043">
        <w:t xml:space="preserve"> (i.e. “</w:t>
      </w:r>
      <w:r w:rsidR="005C4043" w:rsidRPr="005C4043">
        <w:rPr>
          <w:i/>
        </w:rPr>
        <w:t>For the case where the SSB frequency indicated in the MO is used for measurements, whether there should be a restriction that there can be only one MO per SSB frequency/SCS”</w:t>
      </w:r>
      <w:r w:rsidR="005C4043">
        <w:t>)</w:t>
      </w:r>
      <w:r>
        <w:t xml:space="preserve">. </w:t>
      </w:r>
      <w:r w:rsidR="006F2182">
        <w:t xml:space="preserve">If the </w:t>
      </w:r>
      <w:r>
        <w:t xml:space="preserve">second </w:t>
      </w:r>
      <w:r w:rsidR="006F2182">
        <w:t xml:space="preserve">FFS is handled in a way suggested by the Authors of </w:t>
      </w:r>
      <w:r w:rsidR="00886E9C">
        <w:fldChar w:fldCharType="begin"/>
      </w:r>
      <w:r w:rsidR="00886E9C">
        <w:instrText xml:space="preserve"> REF _Ref516762142 \r \h </w:instrText>
      </w:r>
      <w:r w:rsidR="00886E9C">
        <w:fldChar w:fldCharType="separate"/>
      </w:r>
      <w:r w:rsidR="007D45EB">
        <w:t>[3]</w:t>
      </w:r>
      <w:r w:rsidR="00886E9C">
        <w:fldChar w:fldCharType="end"/>
      </w:r>
      <w:r w:rsidR="00886E9C">
        <w:t>, then the</w:t>
      </w:r>
      <w:r w:rsidR="006F2182">
        <w:t xml:space="preserve"> configuration flexibility</w:t>
      </w:r>
      <w:r w:rsidR="008072B8">
        <w:t>,</w:t>
      </w:r>
      <w:r w:rsidR="006F2182">
        <w:t xml:space="preserve"> </w:t>
      </w:r>
      <w:r w:rsidR="00886E9C">
        <w:t>as depicted in Fig.1</w:t>
      </w:r>
      <w:r w:rsidR="008072B8">
        <w:t>,</w:t>
      </w:r>
      <w:r w:rsidR="00886E9C">
        <w:t xml:space="preserve"> will not be achievable in NR. The same SSB (i.e. corresponding to the same </w:t>
      </w:r>
      <w:r w:rsidR="00886E9C" w:rsidRPr="00886E9C">
        <w:rPr>
          <w:i/>
        </w:rPr>
        <w:t>SSBfrequency</w:t>
      </w:r>
      <w:r w:rsidR="00886E9C">
        <w:t>) could not be used multiple times, to configure different measurement objects comprising indep</w:t>
      </w:r>
      <w:r w:rsidR="008072B8">
        <w:t>endent sets of CSI-RS resources, which e.g. may be distant from each other on the frequency axis.</w:t>
      </w:r>
    </w:p>
    <w:p w14:paraId="7C8F415B" w14:textId="2D4F7F40" w:rsidR="00886E9C" w:rsidRPr="006D3E06" w:rsidRDefault="00886E9C" w:rsidP="00886E9C">
      <w:pPr>
        <w:pStyle w:val="ListParagraph"/>
        <w:numPr>
          <w:ilvl w:val="0"/>
          <w:numId w:val="7"/>
        </w:numPr>
        <w:jc w:val="both"/>
        <w:rPr>
          <w:b/>
        </w:rPr>
      </w:pPr>
      <w:bookmarkStart w:id="0" w:name="_Ref517341264"/>
      <w:r w:rsidRPr="006D3E06">
        <w:rPr>
          <w:b/>
        </w:rPr>
        <w:t xml:space="preserve">If the restriction </w:t>
      </w:r>
      <w:r w:rsidR="006D3E06" w:rsidRPr="006D3E06">
        <w:rPr>
          <w:b/>
        </w:rPr>
        <w:t xml:space="preserve">to have </w:t>
      </w:r>
      <w:r w:rsidRPr="006D3E06">
        <w:rPr>
          <w:b/>
        </w:rPr>
        <w:t xml:space="preserve">just a single MO per SSB frequency </w:t>
      </w:r>
      <w:r w:rsidR="006D3E06" w:rsidRPr="006D3E06">
        <w:rPr>
          <w:b/>
        </w:rPr>
        <w:t>is introduced in NR, the network will lose the possibility to configure separate sets of CSI-RSs corresponding to the same SSB in separate MOs</w:t>
      </w:r>
      <w:bookmarkEnd w:id="0"/>
    </w:p>
    <w:p w14:paraId="74CB01C1" w14:textId="77777777" w:rsidR="00983499" w:rsidRDefault="006F2182" w:rsidP="00983499">
      <w:pPr>
        <w:keepNext/>
        <w:jc w:val="both"/>
      </w:pPr>
      <w:r>
        <w:rPr>
          <w:noProof/>
        </w:rPr>
        <w:lastRenderedPageBreak/>
        <w:drawing>
          <wp:inline distT="0" distB="0" distL="0" distR="0" wp14:anchorId="3137CF26" wp14:editId="7F4335C6">
            <wp:extent cx="6291072" cy="24048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072" cy="2404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328FFD" w14:textId="09A07F2F" w:rsidR="006F2182" w:rsidRDefault="00983499" w:rsidP="00983499">
      <w:pPr>
        <w:pStyle w:val="Caption"/>
        <w:jc w:val="center"/>
      </w:pPr>
      <w:r>
        <w:t xml:space="preserve">Fig. </w:t>
      </w:r>
      <w:fldSimple w:instr=" SEQ Figure \* ARABIC ">
        <w:r>
          <w:rPr>
            <w:noProof/>
          </w:rPr>
          <w:t>1</w:t>
        </w:r>
      </w:fldSimple>
      <w:r w:rsidR="008072B8">
        <w:t xml:space="preserve">: Measurement Objects comprising the same SSB, but different sets of CSI-RSs </w:t>
      </w:r>
    </w:p>
    <w:p w14:paraId="2905AE4F" w14:textId="67249D6E" w:rsidR="006F2182" w:rsidRDefault="006D3E06" w:rsidP="004820A9">
      <w:pPr>
        <w:jc w:val="both"/>
      </w:pPr>
      <w:r>
        <w:t>As a consequence of the reasoning outlined</w:t>
      </w:r>
      <w:r w:rsidR="008072B8">
        <w:t xml:space="preserve"> above</w:t>
      </w:r>
      <w:r>
        <w:t>, we propose:</w:t>
      </w:r>
    </w:p>
    <w:p w14:paraId="7926EBB8" w14:textId="0BBA4E92" w:rsidR="006D3E06" w:rsidRPr="008072B8" w:rsidRDefault="008072B8" w:rsidP="006D3E06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1" w:name="_Ref517341280"/>
      <w:r>
        <w:rPr>
          <w:b/>
        </w:rPr>
        <w:t>RAN2 is asked not to limit the number of Measurement Objects corresponding to the same SSB frequency or SCS.</w:t>
      </w:r>
      <w:bookmarkEnd w:id="1"/>
    </w:p>
    <w:p w14:paraId="43A12B72" w14:textId="45921AD0" w:rsidR="00CD4C7B" w:rsidRPr="006E13D1" w:rsidRDefault="007C49EC" w:rsidP="00CD4C7B">
      <w:pPr>
        <w:pStyle w:val="Heading1"/>
      </w:pPr>
      <w:r>
        <w:t>3</w:t>
      </w:r>
      <w:r w:rsidR="002C77EF">
        <w:tab/>
        <w:t>Conclusion</w:t>
      </w:r>
    </w:p>
    <w:p w14:paraId="0031D5E4" w14:textId="7AF02B82" w:rsidR="002C77EF" w:rsidRDefault="002C77EF" w:rsidP="00CD4C7B">
      <w:r>
        <w:t>Th</w:t>
      </w:r>
      <w:r w:rsidR="008072B8">
        <w:t>is TDoc briefly analysed the FFS captured at RAN2#102</w:t>
      </w:r>
      <w:r>
        <w:t xml:space="preserve">. The following observations and proposals have been made in the paper: </w:t>
      </w:r>
    </w:p>
    <w:p w14:paraId="190C81D1" w14:textId="5611F273" w:rsidR="00CD4C7B" w:rsidRDefault="009D5B67" w:rsidP="00CD4C7B">
      <w:r>
        <w:rPr>
          <w:b/>
        </w:rPr>
        <w:fldChar w:fldCharType="begin"/>
      </w:r>
      <w:r w:rsidRPr="009D5B67">
        <w:rPr>
          <w:b/>
        </w:rPr>
        <w:instrText xml:space="preserve"> REF _Ref517341264 \r \h </w:instrText>
      </w:r>
      <w:r>
        <w:rPr>
          <w:b/>
        </w:rPr>
        <w:instrText xml:space="preserve"> \* MERGEFORMAT </w:instrText>
      </w:r>
      <w:r>
        <w:rPr>
          <w:b/>
        </w:rPr>
      </w:r>
      <w:r>
        <w:rPr>
          <w:b/>
        </w:rPr>
        <w:fldChar w:fldCharType="separate"/>
      </w:r>
      <w:r w:rsidRPr="009D5B67">
        <w:rPr>
          <w:b/>
        </w:rPr>
        <w:t>Observation</w:t>
      </w:r>
      <w:r>
        <w:t xml:space="preserve"> </w:t>
      </w:r>
      <w:r w:rsidRPr="009D5B67">
        <w:rPr>
          <w:b/>
        </w:rPr>
        <w:t>1</w:t>
      </w:r>
      <w:r>
        <w:t>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_Ref517341264 \h </w:instrText>
      </w:r>
      <w:r>
        <w:fldChar w:fldCharType="separate"/>
      </w:r>
      <w:r w:rsidRPr="006D3E06">
        <w:rPr>
          <w:b/>
        </w:rPr>
        <w:t>If the restriction to have just a single MO per SSB frequency is introduced in NR, the network will lose the possibility to configure separate sets of CSI-RSs corresponding to the same SSB in separate MOs</w:t>
      </w:r>
      <w:r>
        <w:fldChar w:fldCharType="end"/>
      </w:r>
      <w:r>
        <w:t>.</w:t>
      </w:r>
    </w:p>
    <w:p w14:paraId="4CC4D738" w14:textId="098EF85A" w:rsidR="009D5B67" w:rsidRPr="006E13D1" w:rsidRDefault="009D5B67" w:rsidP="00CD4C7B">
      <w:r>
        <w:fldChar w:fldCharType="begin"/>
      </w:r>
      <w:r>
        <w:instrText xml:space="preserve"> REF _Ref517341280 \r \h  \* MERGEFORMAT </w:instrText>
      </w:r>
      <w:r>
        <w:fldChar w:fldCharType="separate"/>
      </w:r>
      <w:r w:rsidRPr="009D5B67">
        <w:rPr>
          <w:b/>
        </w:rPr>
        <w:t>Proposal 1</w:t>
      </w:r>
      <w:r>
        <w:t>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_Ref517341280 \h </w:instrText>
      </w:r>
      <w:r>
        <w:fldChar w:fldCharType="separate"/>
      </w:r>
      <w:r>
        <w:rPr>
          <w:b/>
        </w:rPr>
        <w:t>RAN2 is asked not to limit the number of Measurement Objects corresponding to the same SSB frequency or SCS.</w:t>
      </w:r>
      <w: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6DCF8582" w:rsidR="00CD4C7B" w:rsidRDefault="003B26E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16483888"/>
      <w:bookmarkStart w:id="3" w:name="_Ref516758201"/>
      <w:bookmarkStart w:id="4" w:name="_Ref75086397"/>
      <w:r>
        <w:t>3GPP TS 38.33</w:t>
      </w:r>
      <w:r w:rsidR="0090466A">
        <w:t>1</w:t>
      </w:r>
      <w:r w:rsidR="00F70048">
        <w:t xml:space="preserve"> </w:t>
      </w:r>
      <w:r w:rsidR="00F70048" w:rsidRPr="00265782">
        <w:rPr>
          <w:i/>
        </w:rPr>
        <w:t>NR RRC Technical Specificatio</w:t>
      </w:r>
      <w:bookmarkEnd w:id="2"/>
      <w:r w:rsidR="00F70048" w:rsidRPr="00265782">
        <w:rPr>
          <w:i/>
        </w:rPr>
        <w:t>n</w:t>
      </w:r>
      <w:r w:rsidR="00C271FE">
        <w:t>, version 15.2.1</w:t>
      </w:r>
      <w:bookmarkStart w:id="5" w:name="_GoBack"/>
      <w:bookmarkEnd w:id="5"/>
      <w:r w:rsidR="00F70048">
        <w:t>, June 2018</w:t>
      </w:r>
      <w:bookmarkEnd w:id="3"/>
    </w:p>
    <w:p w14:paraId="2E32BBA5" w14:textId="139D8224" w:rsidR="00077A31" w:rsidRPr="006E13D1" w:rsidRDefault="00793DD7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16762913"/>
      <w:r>
        <w:t xml:space="preserve">3GPP </w:t>
      </w:r>
      <w:r w:rsidR="00077A31">
        <w:t>RAN WG2#102 Chairman Notes</w:t>
      </w:r>
      <w:bookmarkEnd w:id="6"/>
    </w:p>
    <w:p w14:paraId="4AA5C936" w14:textId="034B8A4E" w:rsidR="00CD4C7B" w:rsidRPr="006E13D1" w:rsidRDefault="00F70048" w:rsidP="00F7004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516762142"/>
      <w:r>
        <w:t>R2-1807337</w:t>
      </w:r>
      <w:r w:rsidR="00CD4C7B" w:rsidRPr="006E13D1">
        <w:t xml:space="preserve"> </w:t>
      </w:r>
      <w:r w:rsidRPr="00F70048">
        <w:rPr>
          <w:i/>
        </w:rPr>
        <w:t>Configuration on measurement object for NR</w:t>
      </w:r>
      <w:bookmarkEnd w:id="4"/>
      <w:r>
        <w:t>,</w:t>
      </w:r>
      <w:r w:rsidR="0090466A">
        <w:t xml:space="preserve"> </w:t>
      </w:r>
      <w:r>
        <w:t>Intel, 3GPP TSG RAN WG2 Meeting #102 Busan, Korea, 21st – 25th May 2018</w:t>
      </w:r>
      <w:bookmarkEnd w:id="7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A47B3" w14:textId="77777777" w:rsidR="00EE69A5" w:rsidRDefault="00EE69A5">
      <w:r>
        <w:separator/>
      </w:r>
    </w:p>
  </w:endnote>
  <w:endnote w:type="continuationSeparator" w:id="0">
    <w:p w14:paraId="53428930" w14:textId="77777777" w:rsidR="00EE69A5" w:rsidRDefault="00EE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08F55" w14:textId="77777777" w:rsidR="00EE69A5" w:rsidRDefault="00EE69A5">
      <w:r>
        <w:separator/>
      </w:r>
    </w:p>
  </w:footnote>
  <w:footnote w:type="continuationSeparator" w:id="0">
    <w:p w14:paraId="52D5C0CB" w14:textId="77777777" w:rsidR="00EE69A5" w:rsidRDefault="00EE6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562CB0"/>
    <w:multiLevelType w:val="hybridMultilevel"/>
    <w:tmpl w:val="6854FC72"/>
    <w:lvl w:ilvl="0" w:tplc="D3DEA76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5362C"/>
    <w:multiLevelType w:val="hybridMultilevel"/>
    <w:tmpl w:val="F9C455F4"/>
    <w:lvl w:ilvl="0" w:tplc="1CFA0F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9777FF"/>
    <w:multiLevelType w:val="hybridMultilevel"/>
    <w:tmpl w:val="7B5C19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929BD"/>
    <w:multiLevelType w:val="hybridMultilevel"/>
    <w:tmpl w:val="6F2EA8BE"/>
    <w:lvl w:ilvl="0" w:tplc="13AAC3C8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7A31"/>
    <w:rsid w:val="00080512"/>
    <w:rsid w:val="00090468"/>
    <w:rsid w:val="000B7BCF"/>
    <w:rsid w:val="000C522B"/>
    <w:rsid w:val="000D4069"/>
    <w:rsid w:val="000D58AB"/>
    <w:rsid w:val="001000CD"/>
    <w:rsid w:val="0010463D"/>
    <w:rsid w:val="00112F1A"/>
    <w:rsid w:val="00136019"/>
    <w:rsid w:val="00145075"/>
    <w:rsid w:val="001741A0"/>
    <w:rsid w:val="00175FA0"/>
    <w:rsid w:val="001825E5"/>
    <w:rsid w:val="00194CD0"/>
    <w:rsid w:val="001B49C9"/>
    <w:rsid w:val="001C4F79"/>
    <w:rsid w:val="001F168B"/>
    <w:rsid w:val="001F48DD"/>
    <w:rsid w:val="001F7831"/>
    <w:rsid w:val="00204045"/>
    <w:rsid w:val="0020712B"/>
    <w:rsid w:val="002259DB"/>
    <w:rsid w:val="0022606D"/>
    <w:rsid w:val="00231728"/>
    <w:rsid w:val="002450AD"/>
    <w:rsid w:val="00245644"/>
    <w:rsid w:val="002610D8"/>
    <w:rsid w:val="00265782"/>
    <w:rsid w:val="002747EC"/>
    <w:rsid w:val="002855BF"/>
    <w:rsid w:val="002C77EF"/>
    <w:rsid w:val="002F0D22"/>
    <w:rsid w:val="002F19ED"/>
    <w:rsid w:val="003172DC"/>
    <w:rsid w:val="00325AE3"/>
    <w:rsid w:val="00326069"/>
    <w:rsid w:val="00351A7C"/>
    <w:rsid w:val="0035462D"/>
    <w:rsid w:val="00364B41"/>
    <w:rsid w:val="003A41EF"/>
    <w:rsid w:val="003B26EF"/>
    <w:rsid w:val="003B40AD"/>
    <w:rsid w:val="003C4E37"/>
    <w:rsid w:val="003E16BE"/>
    <w:rsid w:val="003F4E28"/>
    <w:rsid w:val="004006E8"/>
    <w:rsid w:val="00401855"/>
    <w:rsid w:val="00477455"/>
    <w:rsid w:val="004820A9"/>
    <w:rsid w:val="00491B8C"/>
    <w:rsid w:val="004A1F7B"/>
    <w:rsid w:val="004C44D2"/>
    <w:rsid w:val="004D3578"/>
    <w:rsid w:val="004D380D"/>
    <w:rsid w:val="004E213A"/>
    <w:rsid w:val="00503171"/>
    <w:rsid w:val="00506C28"/>
    <w:rsid w:val="00534DA0"/>
    <w:rsid w:val="00542E69"/>
    <w:rsid w:val="00543E6C"/>
    <w:rsid w:val="00565087"/>
    <w:rsid w:val="0056573F"/>
    <w:rsid w:val="005C4043"/>
    <w:rsid w:val="00611566"/>
    <w:rsid w:val="00613145"/>
    <w:rsid w:val="00646D99"/>
    <w:rsid w:val="00656910"/>
    <w:rsid w:val="006C66D8"/>
    <w:rsid w:val="006D1E24"/>
    <w:rsid w:val="006D3E06"/>
    <w:rsid w:val="006E1417"/>
    <w:rsid w:val="006F2182"/>
    <w:rsid w:val="006F6A2C"/>
    <w:rsid w:val="00710201"/>
    <w:rsid w:val="00710FCA"/>
    <w:rsid w:val="0073222A"/>
    <w:rsid w:val="00733F2A"/>
    <w:rsid w:val="007342B5"/>
    <w:rsid w:val="00734A5B"/>
    <w:rsid w:val="00744E76"/>
    <w:rsid w:val="00757D40"/>
    <w:rsid w:val="00765744"/>
    <w:rsid w:val="00781F0F"/>
    <w:rsid w:val="0078727C"/>
    <w:rsid w:val="0079049D"/>
    <w:rsid w:val="00793DC5"/>
    <w:rsid w:val="00793DD7"/>
    <w:rsid w:val="007B18D8"/>
    <w:rsid w:val="007B6D95"/>
    <w:rsid w:val="007C095F"/>
    <w:rsid w:val="007C49EC"/>
    <w:rsid w:val="007D45EB"/>
    <w:rsid w:val="00801E8A"/>
    <w:rsid w:val="008028A4"/>
    <w:rsid w:val="008072B8"/>
    <w:rsid w:val="00813245"/>
    <w:rsid w:val="008637EC"/>
    <w:rsid w:val="008768CA"/>
    <w:rsid w:val="00877EF9"/>
    <w:rsid w:val="00880559"/>
    <w:rsid w:val="00886E9C"/>
    <w:rsid w:val="008A4F4C"/>
    <w:rsid w:val="008B5306"/>
    <w:rsid w:val="008D2E4D"/>
    <w:rsid w:val="008D3B3E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83499"/>
    <w:rsid w:val="0098625F"/>
    <w:rsid w:val="0099310E"/>
    <w:rsid w:val="009A0AF3"/>
    <w:rsid w:val="009B07CD"/>
    <w:rsid w:val="009C19E9"/>
    <w:rsid w:val="009D5B67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16104"/>
    <w:rsid w:val="00B27303"/>
    <w:rsid w:val="00B47FD1"/>
    <w:rsid w:val="00B516BB"/>
    <w:rsid w:val="00B924F1"/>
    <w:rsid w:val="00BC3555"/>
    <w:rsid w:val="00BE2942"/>
    <w:rsid w:val="00C12B51"/>
    <w:rsid w:val="00C24650"/>
    <w:rsid w:val="00C271FE"/>
    <w:rsid w:val="00C33079"/>
    <w:rsid w:val="00C53EA9"/>
    <w:rsid w:val="00C77FEA"/>
    <w:rsid w:val="00C83A13"/>
    <w:rsid w:val="00C9068C"/>
    <w:rsid w:val="00C92967"/>
    <w:rsid w:val="00CA3D0C"/>
    <w:rsid w:val="00CA654B"/>
    <w:rsid w:val="00CC0694"/>
    <w:rsid w:val="00CD4C7B"/>
    <w:rsid w:val="00D33BE3"/>
    <w:rsid w:val="00D3792D"/>
    <w:rsid w:val="00D55E47"/>
    <w:rsid w:val="00D62E19"/>
    <w:rsid w:val="00D649D6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224"/>
    <w:rsid w:val="00DC309B"/>
    <w:rsid w:val="00DC4DA2"/>
    <w:rsid w:val="00E471CF"/>
    <w:rsid w:val="00E62835"/>
    <w:rsid w:val="00E77645"/>
    <w:rsid w:val="00E83697"/>
    <w:rsid w:val="00EC4A25"/>
    <w:rsid w:val="00ED4269"/>
    <w:rsid w:val="00EE69A5"/>
    <w:rsid w:val="00F025A2"/>
    <w:rsid w:val="00F07388"/>
    <w:rsid w:val="00F2026E"/>
    <w:rsid w:val="00F2210A"/>
    <w:rsid w:val="00F37743"/>
    <w:rsid w:val="00F54A3D"/>
    <w:rsid w:val="00F54CB0"/>
    <w:rsid w:val="00F653B8"/>
    <w:rsid w:val="00F7004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9931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310E"/>
  </w:style>
  <w:style w:type="character" w:customStyle="1" w:styleId="CommentTextChar">
    <w:name w:val="Comment Text Char"/>
    <w:basedOn w:val="DefaultParagraphFont"/>
    <w:link w:val="CommentText"/>
    <w:rsid w:val="009931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310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820A9"/>
    <w:pPr>
      <w:ind w:left="720"/>
      <w:contextualSpacing/>
    </w:pPr>
  </w:style>
  <w:style w:type="table" w:styleId="TableGrid">
    <w:name w:val="Table Grid"/>
    <w:basedOn w:val="TableNormal"/>
    <w:rsid w:val="003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8349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5AIRPNAIUNRU-859666464-2251</_dlc_DocId>
    <_dlc_DocIdUrl xmlns="71c5aaf6-e6ce-465b-b873-5148d2a4c105">
      <Url>https://nokia.sharepoint.com/sites/c5g/e2earch/_layouts/15/DocIdRedir.aspx?ID=5AIRPNAIUNRU-859666464-2251</Url>
      <Description>5AIRPNAIUNRU-859666464-2251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C7D4DE-1C32-4719-B816-6FC9B2EA81A3}">
  <ds:schemaRefs>
    <ds:schemaRef ds:uri="http://purl.org/dc/elements/1.1/"/>
    <ds:schemaRef ds:uri="http://schemas.microsoft.com/office/2006/metadata/properties"/>
    <ds:schemaRef ds:uri="http://purl.org/dc/terms/"/>
    <ds:schemaRef ds:uri="71c5aaf6-e6ce-465b-b873-5148d2a4c105"/>
    <ds:schemaRef ds:uri="a3840f4f-04be-43d1-b2ef-6ff1382503c7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83f22d2f-d16e-4be6-ad4f-29fa0b067c3c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3B570CC-2234-4A2D-9AEC-B8456CF9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412</TotalTime>
  <Pages>2</Pages>
  <Words>599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3799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</cp:lastModifiedBy>
  <cp:revision>67</cp:revision>
  <dcterms:created xsi:type="dcterms:W3CDTF">2016-08-12T03:53:00Z</dcterms:created>
  <dcterms:modified xsi:type="dcterms:W3CDTF">2018-06-21T16:05:00Z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597feaaa-f47d-464f-96ef-845eba4b1a96</vt:lpwstr>
  </property>
</Properties>
</file>